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872" w:rsidRDefault="00000000">
      <w:pPr>
        <w:pStyle w:val="Heading1"/>
        <w:ind w:left="13" w:right="3"/>
      </w:pPr>
      <w:r>
        <w:t>EXHIBIT 3 MC-PACE DISCLOSURES AND RISKS</w:t>
      </w:r>
    </w:p>
    <w:p w:rsidR="00D62872" w:rsidRDefault="00000000">
      <w:pPr>
        <w:spacing w:after="269" w:line="239" w:lineRule="auto"/>
        <w:ind w:left="0" w:right="0" w:firstLine="0"/>
      </w:pPr>
      <w:r>
        <w:t xml:space="preserve">The Montgomery County Green Bank (“Program Manager”) makes the following disclosures to the Property Owner participating in the Montgomery County Commercial Property Assessed Clean Energy Program (“MC-PACE”), and sets forth potential risks associated with accepting the C-PACE financing Surcharge on your property as follows: </w:t>
      </w:r>
    </w:p>
    <w:p w:rsidR="00D62872" w:rsidRDefault="00000000">
      <w:pPr>
        <w:spacing w:after="262" w:line="259" w:lineRule="auto"/>
        <w:ind w:left="-5" w:right="0" w:hanging="10"/>
      </w:pPr>
      <w:r>
        <w:rPr>
          <w:b/>
        </w:rPr>
        <w:t xml:space="preserve">DISCLOSURES </w:t>
      </w:r>
    </w:p>
    <w:p w:rsidR="00D62872" w:rsidRDefault="00000000">
      <w:pPr>
        <w:numPr>
          <w:ilvl w:val="0"/>
          <w:numId w:val="1"/>
        </w:numPr>
        <w:ind w:right="1" w:hanging="360"/>
      </w:pPr>
      <w:r>
        <w:t>The C-PACE loan, along with administrative processing and collection charges that may be charged, will be repaid through a C-PACE surcharge (“Surcharge”), which will be included on the Property Owner’s real property tax bill and will be due and payable on the same date as real property taxes.</w:t>
      </w:r>
    </w:p>
    <w:p w:rsidR="00D62872" w:rsidRDefault="00000000">
      <w:pPr>
        <w:numPr>
          <w:ilvl w:val="0"/>
          <w:numId w:val="1"/>
        </w:numPr>
        <w:ind w:right="1" w:hanging="360"/>
      </w:pPr>
      <w:r>
        <w:t>Surcharges are secured by and attached to the real property. At resale, the purchaser of the property will be responsible for any future surcharges (if applicable).</w:t>
      </w:r>
    </w:p>
    <w:p w:rsidR="00D62872" w:rsidRDefault="00000000">
      <w:pPr>
        <w:numPr>
          <w:ilvl w:val="0"/>
          <w:numId w:val="1"/>
        </w:numPr>
        <w:spacing w:after="283" w:line="239" w:lineRule="auto"/>
        <w:ind w:right="1" w:hanging="360"/>
      </w:pPr>
      <w:r>
        <w:rPr>
          <w:u w:val="single" w:color="000000"/>
        </w:rPr>
        <w:t>Pursuant to Article 5, Chapter 18A-36 of the Montgomery County Code, if Surcharges are delinquent, the delinquent Surcharge becomes a tax lien and collectible through the tax sale process authorized under TaxProperty Article, Title 14, Subtitle 8 of the State Code (“Annotated Code”). Since the Surcharge is part of the property tax bill, a failure to pay will result in a tax sale</w:t>
      </w:r>
      <w:r>
        <w:t>.</w:t>
      </w:r>
    </w:p>
    <w:p w:rsidR="00D62872" w:rsidRDefault="00000000">
      <w:pPr>
        <w:numPr>
          <w:ilvl w:val="0"/>
          <w:numId w:val="1"/>
        </w:numPr>
        <w:ind w:right="1" w:hanging="360"/>
      </w:pPr>
      <w:r>
        <w:t>The County has no liability for payment of the C-PACE Surcharge, its assessment, levy and collection, or any costs associated due under the MC-PACE Program.</w:t>
      </w:r>
    </w:p>
    <w:p w:rsidR="00D62872" w:rsidRDefault="00000000">
      <w:pPr>
        <w:numPr>
          <w:ilvl w:val="0"/>
          <w:numId w:val="1"/>
        </w:numPr>
        <w:spacing w:after="0"/>
        <w:ind w:right="1" w:hanging="360"/>
      </w:pPr>
      <w:r>
        <w:rPr>
          <w:noProof/>
        </w:rPr>
        <w:drawing>
          <wp:anchor distT="0" distB="0" distL="114300" distR="114300" simplePos="0" relativeHeight="251658240" behindDoc="0" locked="0" layoutInCell="1" allowOverlap="0">
            <wp:simplePos x="0" y="0"/>
            <wp:positionH relativeFrom="page">
              <wp:posOffset>5372100</wp:posOffset>
            </wp:positionH>
            <wp:positionV relativeFrom="page">
              <wp:posOffset>457188</wp:posOffset>
            </wp:positionV>
            <wp:extent cx="1914652" cy="678199"/>
            <wp:effectExtent l="0" t="0" r="0" b="0"/>
            <wp:wrapTopAndBottom/>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5"/>
                    <a:stretch>
                      <a:fillRect/>
                    </a:stretch>
                  </pic:blipFill>
                  <pic:spPr>
                    <a:xfrm>
                      <a:off x="0" y="0"/>
                      <a:ext cx="1914652" cy="678199"/>
                    </a:xfrm>
                    <a:prstGeom prst="rect">
                      <a:avLst/>
                    </a:prstGeom>
                  </pic:spPr>
                </pic:pic>
              </a:graphicData>
            </a:graphic>
          </wp:anchor>
        </w:drawing>
      </w:r>
      <w:r>
        <w:rPr>
          <w:u w:val="single" w:color="000000"/>
        </w:rPr>
        <w:t>Neither the Program Manager nor Montgomery County is your lender</w:t>
      </w:r>
      <w:r>
        <w:t>. The Program Manager’s role in this transaction is to administer MC-PACE and meet all of the applicable statutory requirements for the State of</w:t>
      </w:r>
    </w:p>
    <w:p w:rsidR="00D62872" w:rsidRDefault="00000000">
      <w:pPr>
        <w:ind w:left="720" w:right="1" w:firstLine="0"/>
      </w:pPr>
      <w:r>
        <w:t>Maryland and Montgomery County. If the proposed Project is approved by both the Program Manager and Montgomery County, and the Property Owner and Capital Provider meet all of the MC-PACE requirements, then a Capital Provider may finance the project.</w:t>
      </w:r>
    </w:p>
    <w:p w:rsidR="00D62872" w:rsidRDefault="00000000">
      <w:pPr>
        <w:numPr>
          <w:ilvl w:val="0"/>
          <w:numId w:val="1"/>
        </w:numPr>
        <w:ind w:right="1" w:hanging="360"/>
      </w:pPr>
      <w:r>
        <w:t>The Property Owner has been made aware of the effective interest rate on the loan, including any fees charged by the Program Manager and Montgomery County to administer MC-PACE, and the risks associated with variable interest rate financing, if applicable.</w:t>
      </w:r>
    </w:p>
    <w:p w:rsidR="00D62872" w:rsidRDefault="00000000">
      <w:pPr>
        <w:spacing w:after="262" w:line="259" w:lineRule="auto"/>
        <w:ind w:left="-5" w:right="0" w:hanging="10"/>
      </w:pPr>
      <w:r>
        <w:rPr>
          <w:b/>
        </w:rPr>
        <w:t xml:space="preserve">POTENTIAL RISKS </w:t>
      </w:r>
    </w:p>
    <w:p w:rsidR="00D62872" w:rsidRDefault="00000000">
      <w:pPr>
        <w:ind w:left="715" w:right="1"/>
      </w:pPr>
      <w:r>
        <w:t>1.</w:t>
      </w:r>
      <w:r>
        <w:tab/>
        <w:t>The Program Manager does not guarantee energy and other cost savings. Property owner is encouraged to obtain an energy audit or renewable energy system feasibility analysis on the project that assesses the energy cost savings projected and have it reviewed by a third party to ensure best practice in project development.</w:t>
      </w:r>
    </w:p>
    <w:p w:rsidR="00D62872" w:rsidRDefault="00000000">
      <w:pPr>
        <w:spacing w:after="677"/>
        <w:ind w:left="1090" w:right="1"/>
      </w:pPr>
      <w:r>
        <w:t>a.</w:t>
      </w:r>
      <w:r>
        <w:tab/>
      </w:r>
      <w:r>
        <w:rPr>
          <w:u w:val="single" w:color="000000"/>
        </w:rPr>
        <w:t>The energy efficiency and renewable energy measures proposed to be installed on the property may not perform to specification</w:t>
      </w:r>
      <w:r>
        <w:t>. The measures may break down or underperform due to technical malfunction or improper installation. Project success often depends on third parties who are capable of installing and managing projects and structuring contracts that provide appropriate protection against these construction and operational risks. The Program Manager recommends Property Owners have their installation and servicing contracts reviewed by competent legal counsel and engineering consultants prior to execution.</w:t>
      </w:r>
    </w:p>
    <w:p w:rsidR="00D62872" w:rsidRDefault="00000000">
      <w:pPr>
        <w:spacing w:after="272" w:line="259" w:lineRule="auto"/>
        <w:ind w:left="10" w:right="706" w:hanging="10"/>
        <w:jc w:val="right"/>
      </w:pPr>
      <w:r>
        <w:rPr>
          <w:rFonts w:ascii="Arial" w:eastAsia="Arial" w:hAnsi="Arial" w:cs="Arial"/>
          <w:sz w:val="16"/>
        </w:rPr>
        <w:t>III-1</w:t>
      </w:r>
    </w:p>
    <w:p w:rsidR="00D62872" w:rsidRDefault="00000000">
      <w:pPr>
        <w:pStyle w:val="Heading1"/>
        <w:ind w:left="13"/>
      </w:pPr>
      <w:r>
        <w:lastRenderedPageBreak/>
        <w:t>MC-PACE DISCLOSURES AND RISKS</w:t>
      </w:r>
    </w:p>
    <w:p w:rsidR="00D62872" w:rsidRDefault="00000000">
      <w:pPr>
        <w:numPr>
          <w:ilvl w:val="0"/>
          <w:numId w:val="2"/>
        </w:numPr>
        <w:ind w:left="1171" w:right="1" w:hanging="451"/>
      </w:pPr>
      <w:r>
        <w:rPr>
          <w:u w:val="single" w:color="000000"/>
        </w:rPr>
        <w:t>Completed projects require ongoing maintenance to meet projected energy savings and sustain equipment performance</w:t>
      </w:r>
      <w:r>
        <w:t>. Such maintenance could be complex, costly, and/or be beyond the capabilities of “in-house” staff, requiring external expertise or specialized services over the life of the energy conservation or renewable energy measures.</w:t>
      </w:r>
    </w:p>
    <w:p w:rsidR="00D62872" w:rsidRDefault="00000000">
      <w:pPr>
        <w:numPr>
          <w:ilvl w:val="0"/>
          <w:numId w:val="2"/>
        </w:numPr>
        <w:ind w:left="1171" w:right="1" w:hanging="451"/>
      </w:pPr>
      <w:r>
        <w:rPr>
          <w:u w:val="single" w:color="000000"/>
        </w:rPr>
        <w:t>Fluctuations in energy prices may increase or decrease the savings associated with your project</w:t>
      </w:r>
      <w:r>
        <w:t>. Your Project’s estimated savings are based on assumptions about the future price of electricity and fuels. To the extent that future energy prices are lower than those assumed to occur, your future savings will be less than projected.</w:t>
      </w:r>
    </w:p>
    <w:p w:rsidR="00D62872" w:rsidRDefault="00000000">
      <w:pPr>
        <w:numPr>
          <w:ilvl w:val="0"/>
          <w:numId w:val="2"/>
        </w:numPr>
        <w:ind w:left="1171" w:right="1" w:hanging="451"/>
      </w:pPr>
      <w:r>
        <w:rPr>
          <w:u w:val="single" w:color="000000"/>
        </w:rPr>
        <w:t>Changes in property occupancy may increase or decrease the savings associated with your project</w:t>
      </w:r>
      <w:r>
        <w:t>. Your project’s estimated savings are based on assumptions about the future occupancy and uses of your Property. To the extent that occupancy decreases, or Property uses shift in a manner not currently contemplated such that less energy will be used than expected, your future savings will be less than projected.</w:t>
      </w:r>
    </w:p>
    <w:p w:rsidR="00D62872" w:rsidRDefault="00000000">
      <w:pPr>
        <w:ind w:left="715" w:right="1"/>
      </w:pPr>
      <w:r>
        <w:rPr>
          <w:noProof/>
        </w:rPr>
        <w:drawing>
          <wp:anchor distT="0" distB="0" distL="114300" distR="114300" simplePos="0" relativeHeight="251659264" behindDoc="0" locked="0" layoutInCell="1" allowOverlap="0">
            <wp:simplePos x="0" y="0"/>
            <wp:positionH relativeFrom="page">
              <wp:posOffset>5372100</wp:posOffset>
            </wp:positionH>
            <wp:positionV relativeFrom="page">
              <wp:posOffset>457188</wp:posOffset>
            </wp:positionV>
            <wp:extent cx="1914652" cy="678199"/>
            <wp:effectExtent l="0" t="0" r="0" b="0"/>
            <wp:wrapTopAndBottom/>
            <wp:docPr id="189" name="Pictu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5"/>
                    <a:stretch>
                      <a:fillRect/>
                    </a:stretch>
                  </pic:blipFill>
                  <pic:spPr>
                    <a:xfrm>
                      <a:off x="0" y="0"/>
                      <a:ext cx="1914652" cy="678199"/>
                    </a:xfrm>
                    <a:prstGeom prst="rect">
                      <a:avLst/>
                    </a:prstGeom>
                  </pic:spPr>
                </pic:pic>
              </a:graphicData>
            </a:graphic>
          </wp:anchor>
        </w:drawing>
      </w:r>
      <w:r>
        <w:t>2.</w:t>
      </w:r>
      <w:r>
        <w:tab/>
        <w:t>The success of your project may depend in part on various Federal or State policies and incentives that support or enhance project economic feasibility. Such policies may include governmental initiatives, laws and regulations designed to reduce energy usage, encourage the use of clean energy, or encourage the investment in and the use of sustainable infrastructure. Incentives provided by the Federal government may include tax credits, tax deductions, bonus depreciation, as well as federal grants and loan guarantees. Incentives provided by the State of Maryland may include renewable portfolio standards, which specify the portion of the power utilized by local utilities that must be derived from clean energy sources such as renewable energy, renewable energy credits, tariffs, tax incentives, and other cash and non-cash payments. In addition, Federal and State governments may provide regulatory, tax and other incentives to encourage the development and growth of sustainable infrastructure. You may be depending on these policies and incentives to help defray the costs associated with, and to finance, your project. Government regulations also impact the terms of third-party financing provided to support these projects. If any of these government policies, incentives, or regulations are adversely amended, delayed, eliminated, reduced, or not extended beyond their current expiration dates, the economics of your project may be harmed.</w:t>
      </w:r>
    </w:p>
    <w:p w:rsidR="00D62872" w:rsidRDefault="00000000">
      <w:pPr>
        <w:spacing w:after="122" w:line="370" w:lineRule="auto"/>
        <w:ind w:left="0" w:right="180" w:firstLine="0"/>
      </w:pPr>
      <w:r>
        <w:t xml:space="preserve">The Property Owner hereby acknowledges the above-described MC-PACE Disclosures and Risks by and through its duly authorized undersigned representative. Signature: __________________ </w:t>
      </w:r>
    </w:p>
    <w:p w:rsidR="00D62872" w:rsidRDefault="00000000">
      <w:pPr>
        <w:ind w:left="0" w:right="1" w:firstLine="0"/>
      </w:pPr>
      <w:r>
        <w:t xml:space="preserve">Name (print): __________________ </w:t>
      </w:r>
    </w:p>
    <w:p w:rsidR="00D62872" w:rsidRDefault="00000000">
      <w:pPr>
        <w:ind w:left="0" w:right="1" w:firstLine="0"/>
      </w:pPr>
      <w:r>
        <w:t xml:space="preserve">Company and title: ____________________________________ </w:t>
      </w:r>
    </w:p>
    <w:p w:rsidR="00D62872" w:rsidRDefault="00000000">
      <w:pPr>
        <w:spacing w:after="1551"/>
        <w:ind w:left="0" w:right="1" w:firstLine="0"/>
      </w:pPr>
      <w:r>
        <w:t xml:space="preserve">Date: __________________ </w:t>
      </w:r>
    </w:p>
    <w:p w:rsidR="00D62872" w:rsidRDefault="00000000">
      <w:pPr>
        <w:pStyle w:val="Heading2"/>
        <w:ind w:right="706"/>
      </w:pPr>
      <w:r>
        <w:t>III-2</w:t>
      </w:r>
    </w:p>
    <w:sectPr w:rsidR="00D62872">
      <w:pgSz w:w="12240" w:h="15840"/>
      <w:pgMar w:top="1940" w:right="719" w:bottom="54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F7FF2"/>
    <w:multiLevelType w:val="hybridMultilevel"/>
    <w:tmpl w:val="602848A6"/>
    <w:lvl w:ilvl="0" w:tplc="86BEC18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A07B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908A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B070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E2B4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024E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F689A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041A5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90BC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341603"/>
    <w:multiLevelType w:val="hybridMultilevel"/>
    <w:tmpl w:val="5B6E1A18"/>
    <w:lvl w:ilvl="0" w:tplc="61D475B0">
      <w:start w:val="2"/>
      <w:numFmt w:val="lowerLetter"/>
      <w:lvlText w:val="%1."/>
      <w:lvlJc w:val="left"/>
      <w:pPr>
        <w:ind w:left="1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40416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C82A2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9E694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0432A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AA9F0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663A5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22E40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1ED2F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89000666">
    <w:abstractNumId w:val="0"/>
  </w:num>
  <w:num w:numId="2" w16cid:durableId="2085058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72"/>
    <w:rsid w:val="00717C35"/>
    <w:rsid w:val="00B157B0"/>
    <w:rsid w:val="00D6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4C07C-9396-489C-984A-C062C69B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4" w:line="248" w:lineRule="auto"/>
      <w:ind w:left="730" w:right="3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45" w:line="259" w:lineRule="auto"/>
      <w:ind w:left="10"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72" w:line="259" w:lineRule="auto"/>
      <w:ind w:left="10" w:right="721" w:hanging="10"/>
      <w:jc w:val="right"/>
      <w:outlineLvl w:val="1"/>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6"/>
    </w:rPr>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E2F192E446F42AD7E0F71EF32EB9A" ma:contentTypeVersion="15" ma:contentTypeDescription="Create a new document." ma:contentTypeScope="" ma:versionID="0e181cfad2828592532d5f03f5c44963">
  <xsd:schema xmlns:xsd="http://www.w3.org/2001/XMLSchema" xmlns:xs="http://www.w3.org/2001/XMLSchema" xmlns:p="http://schemas.microsoft.com/office/2006/metadata/properties" xmlns:ns2="f5efcb1a-2e6a-4784-99e4-4544a748a3f4" xmlns:ns3="6b17ddd0-9baf-4090-8b2c-a9b799358083" targetNamespace="http://schemas.microsoft.com/office/2006/metadata/properties" ma:root="true" ma:fieldsID="0c789f163c7c64327caa2a5ef2a0d9ec" ns2:_="" ns3:_="">
    <xsd:import namespace="f5efcb1a-2e6a-4784-99e4-4544a748a3f4"/>
    <xsd:import namespace="6b17ddd0-9baf-4090-8b2c-a9b7993580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fcb1a-2e6a-4784-99e4-4544a748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6a8be21-5af9-4b98-a6a1-43521efa39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7ddd0-9baf-4090-8b2c-a9b79935808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ca93ae-8f04-45ee-8236-50e1c0bb89c8}" ma:internalName="TaxCatchAll" ma:showField="CatchAllData" ma:web="6b17ddd0-9baf-4090-8b2c-a9b7993580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17ddd0-9baf-4090-8b2c-a9b799358083" xsi:nil="true"/>
    <lcf76f155ced4ddcb4097134ff3c332f xmlns="f5efcb1a-2e6a-4784-99e4-4544a748a3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6EA7B9-80D2-4371-AB77-44454E70C6D5}"/>
</file>

<file path=customXml/itemProps2.xml><?xml version="1.0" encoding="utf-8"?>
<ds:datastoreItem xmlns:ds="http://schemas.openxmlformats.org/officeDocument/2006/customXml" ds:itemID="{14CA41DD-E9CA-4565-86E9-301696A4CEFE}"/>
</file>

<file path=customXml/itemProps3.xml><?xml version="1.0" encoding="utf-8"?>
<ds:datastoreItem xmlns:ds="http://schemas.openxmlformats.org/officeDocument/2006/customXml" ds:itemID="{FAF0991D-FE52-44B2-8BBC-1A926BB497C3}"/>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Morel</dc:creator>
  <cp:keywords/>
  <cp:lastModifiedBy>Mervin Mancia</cp:lastModifiedBy>
  <cp:revision>2</cp:revision>
  <dcterms:created xsi:type="dcterms:W3CDTF">2025-10-20T12:31:00Z</dcterms:created>
  <dcterms:modified xsi:type="dcterms:W3CDTF">2025-10-20T12:31:00Z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0x0101005CCE2F192E446F42AD7E0F71EF32EB9A</vt:lpwstr>
  </property>
</Properties>
</file>